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E8EF3" w14:textId="77777777" w:rsidR="00734D74" w:rsidRDefault="00734D74" w:rsidP="00734D74">
      <w:pPr>
        <w:pStyle w:val="NormalWeb"/>
        <w:shd w:val="clear" w:color="auto" w:fill="FFFFFF"/>
        <w:spacing w:before="0" w:beforeAutospacing="0"/>
        <w:rPr>
          <w:rFonts w:ascii="Source Sans Pro" w:hAnsi="Source Sans Pro"/>
          <w:color w:val="333333"/>
          <w:sz w:val="23"/>
          <w:szCs w:val="23"/>
        </w:rPr>
      </w:pPr>
      <w:r>
        <w:rPr>
          <w:rStyle w:val="Textoennegrita"/>
          <w:rFonts w:ascii="Source Sans Pro" w:hAnsi="Source Sans Pro"/>
          <w:color w:val="2B2B2B"/>
          <w:sz w:val="23"/>
          <w:szCs w:val="23"/>
        </w:rPr>
        <w:t>Requisitos que deben reunir quienes soliciten la subvención:</w:t>
      </w:r>
    </w:p>
    <w:p w14:paraId="42EEA37E" w14:textId="77777777" w:rsidR="00734D74" w:rsidRPr="00734D74" w:rsidRDefault="00734D74" w:rsidP="00734D74">
      <w:pPr>
        <w:pStyle w:val="NormalWeb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333333"/>
          <w:sz w:val="22"/>
          <w:szCs w:val="22"/>
        </w:rPr>
      </w:pPr>
      <w:r w:rsidRPr="00734D74">
        <w:rPr>
          <w:rFonts w:asciiTheme="minorHAnsi" w:hAnsiTheme="minorHAnsi" w:cstheme="minorHAnsi"/>
          <w:color w:val="333333"/>
          <w:sz w:val="22"/>
          <w:szCs w:val="22"/>
        </w:rPr>
        <w:t>1. Cuando sean</w:t>
      </w:r>
      <w:r w:rsidRPr="00734D74">
        <w:rPr>
          <w:rStyle w:val="Textoennegrita"/>
          <w:rFonts w:asciiTheme="minorHAnsi" w:hAnsiTheme="minorHAnsi" w:cstheme="minorHAnsi"/>
          <w:color w:val="2B2B2B"/>
          <w:sz w:val="22"/>
          <w:szCs w:val="22"/>
        </w:rPr>
        <w:t> personas jurídicas</w:t>
      </w:r>
      <w:r w:rsidRPr="00734D74">
        <w:rPr>
          <w:rFonts w:asciiTheme="minorHAnsi" w:hAnsiTheme="minorHAnsi" w:cstheme="minorHAnsi"/>
          <w:color w:val="333333"/>
          <w:sz w:val="22"/>
          <w:szCs w:val="22"/>
        </w:rPr>
        <w:t>, deberán encontrarse </w:t>
      </w:r>
      <w:r w:rsidRPr="00734D74">
        <w:rPr>
          <w:rStyle w:val="Textoennegrita"/>
          <w:rFonts w:asciiTheme="minorHAnsi" w:hAnsiTheme="minorHAnsi" w:cstheme="minorHAnsi"/>
          <w:color w:val="2B2B2B"/>
          <w:sz w:val="22"/>
          <w:szCs w:val="22"/>
        </w:rPr>
        <w:t>debidamente constituidas</w:t>
      </w:r>
      <w:r w:rsidRPr="00734D74">
        <w:rPr>
          <w:rFonts w:asciiTheme="minorHAnsi" w:hAnsiTheme="minorHAnsi" w:cstheme="minorHAnsi"/>
          <w:color w:val="333333"/>
          <w:sz w:val="22"/>
          <w:szCs w:val="22"/>
        </w:rPr>
        <w:t>, según la normativa que le resulte de aplicación.</w:t>
      </w:r>
      <w:r w:rsidRPr="00734D74">
        <w:rPr>
          <w:rFonts w:asciiTheme="minorHAnsi" w:hAnsiTheme="minorHAnsi" w:cstheme="minorHAnsi"/>
          <w:color w:val="333333"/>
          <w:sz w:val="22"/>
          <w:szCs w:val="22"/>
        </w:rPr>
        <w:br/>
        <w:t>2. Cuando sean e</w:t>
      </w:r>
      <w:r w:rsidRPr="00734D74">
        <w:rPr>
          <w:rStyle w:val="Textoennegrita"/>
          <w:rFonts w:asciiTheme="minorHAnsi" w:hAnsiTheme="minorHAnsi" w:cstheme="minorHAnsi"/>
          <w:color w:val="2B2B2B"/>
          <w:sz w:val="22"/>
          <w:szCs w:val="22"/>
        </w:rPr>
        <w:t>ntidades que carezcan de personalidad jurídica propia</w:t>
      </w:r>
      <w:r w:rsidRPr="00734D74">
        <w:rPr>
          <w:rFonts w:asciiTheme="minorHAnsi" w:hAnsiTheme="minorHAnsi" w:cstheme="minorHAnsi"/>
          <w:color w:val="333333"/>
          <w:sz w:val="22"/>
          <w:szCs w:val="22"/>
        </w:rPr>
        <w:t>, con excepción de las comunidades de propietarios, deberán hacerse constar los compromisos de ejecución asumidos por cada miembro de la agrupación, así como el importe de la subvención a aplicar por cada uno de ellos. En cualquier caso, debe</w:t>
      </w:r>
      <w:r w:rsidRPr="00734D74">
        <w:rPr>
          <w:rStyle w:val="Textoennegrita"/>
          <w:rFonts w:asciiTheme="minorHAnsi" w:hAnsiTheme="minorHAnsi" w:cstheme="minorHAnsi"/>
          <w:color w:val="2B2B2B"/>
          <w:sz w:val="22"/>
          <w:szCs w:val="22"/>
        </w:rPr>
        <w:t> nombrarse representante o apoderado único</w:t>
      </w:r>
      <w:r w:rsidRPr="00734D74">
        <w:rPr>
          <w:rFonts w:asciiTheme="minorHAnsi" w:hAnsiTheme="minorHAnsi" w:cstheme="minorHAnsi"/>
          <w:color w:val="333333"/>
          <w:sz w:val="22"/>
          <w:szCs w:val="22"/>
        </w:rPr>
        <w:t> de la agrupación con poderes bastantes.</w:t>
      </w:r>
    </w:p>
    <w:p w14:paraId="580300D9" w14:textId="77777777" w:rsidR="00734D74" w:rsidRPr="00734D74" w:rsidRDefault="00734D74" w:rsidP="00734D74">
      <w:pPr>
        <w:pStyle w:val="NormalWeb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333333"/>
          <w:sz w:val="22"/>
          <w:szCs w:val="22"/>
        </w:rPr>
      </w:pPr>
      <w:r w:rsidRPr="00734D74">
        <w:rPr>
          <w:rStyle w:val="Textoennegrita"/>
          <w:rFonts w:asciiTheme="minorHAnsi" w:hAnsiTheme="minorHAnsi" w:cstheme="minorHAnsi"/>
          <w:color w:val="2B2B2B"/>
          <w:sz w:val="22"/>
          <w:szCs w:val="22"/>
        </w:rPr>
        <w:t>Requisitos que deben cumplir los edificios objeto de las actuaciones subvencionables:</w:t>
      </w:r>
    </w:p>
    <w:p w14:paraId="06446A24" w14:textId="77777777" w:rsidR="00734D74" w:rsidRPr="00734D74" w:rsidRDefault="00734D74" w:rsidP="00734D74">
      <w:pPr>
        <w:pStyle w:val="NormalWeb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333333"/>
          <w:sz w:val="22"/>
          <w:szCs w:val="22"/>
        </w:rPr>
      </w:pPr>
      <w:r w:rsidRPr="00734D74">
        <w:rPr>
          <w:rFonts w:asciiTheme="minorHAnsi" w:hAnsiTheme="minorHAnsi" w:cstheme="minorHAnsi"/>
          <w:color w:val="333333"/>
          <w:sz w:val="22"/>
          <w:szCs w:val="22"/>
        </w:rPr>
        <w:t>a) Estar</w:t>
      </w:r>
      <w:r w:rsidRPr="00734D74">
        <w:rPr>
          <w:rStyle w:val="Textoennegrita"/>
          <w:rFonts w:asciiTheme="minorHAnsi" w:hAnsiTheme="minorHAnsi" w:cstheme="minorHAnsi"/>
          <w:color w:val="2B2B2B"/>
          <w:sz w:val="22"/>
          <w:szCs w:val="22"/>
        </w:rPr>
        <w:t> finalizados antes del año 2000.</w:t>
      </w:r>
    </w:p>
    <w:p w14:paraId="09A88A5F" w14:textId="77777777" w:rsidR="00734D74" w:rsidRPr="00734D74" w:rsidRDefault="00734D74" w:rsidP="00734D74">
      <w:pPr>
        <w:pStyle w:val="NormalWeb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333333"/>
          <w:sz w:val="22"/>
          <w:szCs w:val="22"/>
        </w:rPr>
      </w:pPr>
      <w:r w:rsidRPr="00734D74">
        <w:rPr>
          <w:rFonts w:asciiTheme="minorHAnsi" w:hAnsiTheme="minorHAnsi" w:cstheme="minorHAnsi"/>
          <w:color w:val="333333"/>
          <w:sz w:val="22"/>
          <w:szCs w:val="22"/>
        </w:rPr>
        <w:t>b) Que al </w:t>
      </w:r>
      <w:r w:rsidRPr="00734D74">
        <w:rPr>
          <w:rStyle w:val="Textoennegrita"/>
          <w:rFonts w:asciiTheme="minorHAnsi" w:hAnsiTheme="minorHAnsi" w:cstheme="minorHAnsi"/>
          <w:color w:val="2B2B2B"/>
          <w:sz w:val="22"/>
          <w:szCs w:val="22"/>
        </w:rPr>
        <w:t>menos el 50 % de su superficie construida sobre rasante</w:t>
      </w:r>
      <w:r w:rsidRPr="00734D74">
        <w:rPr>
          <w:rFonts w:asciiTheme="minorHAnsi" w:hAnsiTheme="minorHAnsi" w:cstheme="minorHAnsi"/>
          <w:color w:val="333333"/>
          <w:sz w:val="22"/>
          <w:szCs w:val="22"/>
        </w:rPr>
        <w:t>, excluida la planta baja o plantas inferiores si tiene o tienen otros usos compatibles,</w:t>
      </w:r>
      <w:r w:rsidRPr="00734D74">
        <w:rPr>
          <w:rStyle w:val="Textoennegrita"/>
          <w:rFonts w:asciiTheme="minorHAnsi" w:hAnsiTheme="minorHAnsi" w:cstheme="minorHAnsi"/>
          <w:color w:val="2B2B2B"/>
          <w:sz w:val="22"/>
          <w:szCs w:val="22"/>
        </w:rPr>
        <w:t> tenga uso residencial</w:t>
      </w:r>
      <w:r w:rsidRPr="00734D74">
        <w:rPr>
          <w:rFonts w:asciiTheme="minorHAnsi" w:hAnsiTheme="minorHAnsi" w:cstheme="minorHAnsi"/>
          <w:color w:val="333333"/>
          <w:sz w:val="22"/>
          <w:szCs w:val="22"/>
        </w:rPr>
        <w:t> de vivienda.</w:t>
      </w:r>
      <w:r w:rsidRPr="00734D74">
        <w:rPr>
          <w:rFonts w:asciiTheme="minorHAnsi" w:hAnsiTheme="minorHAnsi" w:cstheme="minorHAnsi"/>
          <w:color w:val="333333"/>
          <w:sz w:val="22"/>
          <w:szCs w:val="22"/>
        </w:rPr>
        <w:br/>
        <w:t>Estos requisitos se podrán acreditar mediante escritura, nota simple registral o consulta descriptiva y gráfica de los datos catastrales del inmueble.</w:t>
      </w:r>
    </w:p>
    <w:p w14:paraId="21D12732" w14:textId="77777777" w:rsidR="00734D74" w:rsidRPr="00734D74" w:rsidRDefault="00734D74" w:rsidP="00734D74">
      <w:pPr>
        <w:pStyle w:val="NormalWeb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333333"/>
          <w:sz w:val="22"/>
          <w:szCs w:val="22"/>
        </w:rPr>
      </w:pPr>
      <w:r w:rsidRPr="00734D74">
        <w:rPr>
          <w:rStyle w:val="Textoennegrita"/>
          <w:rFonts w:asciiTheme="minorHAnsi" w:hAnsiTheme="minorHAnsi" w:cstheme="minorHAnsi"/>
          <w:color w:val="2B2B2B"/>
          <w:sz w:val="22"/>
          <w:szCs w:val="22"/>
        </w:rPr>
        <w:t>Requisitos que habrá de cumplir el proyecto objeto de subvención:</w:t>
      </w:r>
    </w:p>
    <w:p w14:paraId="6FD963FB" w14:textId="77777777" w:rsidR="00734D74" w:rsidRPr="00734D74" w:rsidRDefault="00734D74" w:rsidP="00734D74">
      <w:pPr>
        <w:pStyle w:val="NormalWeb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333333"/>
          <w:sz w:val="22"/>
          <w:szCs w:val="22"/>
        </w:rPr>
      </w:pPr>
      <w:r w:rsidRPr="00734D74">
        <w:rPr>
          <w:rFonts w:asciiTheme="minorHAnsi" w:hAnsiTheme="minorHAnsi" w:cstheme="minorHAnsi"/>
          <w:color w:val="333333"/>
          <w:sz w:val="22"/>
          <w:szCs w:val="22"/>
        </w:rPr>
        <w:t>a) Incluirá un estudio de gestión de residuos de construcción y demolición que se desarrollará posteriormente en el correspondiente plan de gestión de residuos de construcción y demolición, conforme a lo establecido Real Decreto 105/2008, de 1 de febrero, por el que se regula la producción y gestión de los residuos de construcción y demolición, donde se cumplirán las siguientes condiciones:</w:t>
      </w:r>
    </w:p>
    <w:p w14:paraId="01DD8495" w14:textId="77777777" w:rsidR="00734D74" w:rsidRPr="00734D74" w:rsidRDefault="00734D74" w:rsidP="00734D74">
      <w:pPr>
        <w:pStyle w:val="NormalWeb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333333"/>
          <w:sz w:val="22"/>
          <w:szCs w:val="22"/>
        </w:rPr>
      </w:pPr>
      <w:r w:rsidRPr="00734D74">
        <w:rPr>
          <w:rFonts w:asciiTheme="minorHAnsi" w:hAnsiTheme="minorHAnsi" w:cstheme="minorHAnsi"/>
          <w:color w:val="333333"/>
          <w:sz w:val="22"/>
          <w:szCs w:val="22"/>
        </w:rPr>
        <w:t>1º. Al menos el 70% (en peso) de los residuos de construcción y demolición no peligrosos (excluyendo el material natural mencionado en la categoría 17 05 04 en la Lista europea de residuos establecida por la Decisión 2000/532 /EC) generados en el sitio de construcción se preparará para su reutilización, reciclaje y recuperación de otros materiales, incluidas las operaciones de relleno utilizando residuos para sustituir otros materiales, de acuerdo con la jerarquía de residuos y el Protocolo de gestión de residuos de construcción y demolición de la UE.</w:t>
      </w:r>
    </w:p>
    <w:p w14:paraId="2A33E6ED" w14:textId="77777777" w:rsidR="00734D74" w:rsidRPr="00734D74" w:rsidRDefault="00734D74" w:rsidP="00734D74">
      <w:pPr>
        <w:pStyle w:val="NormalWeb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333333"/>
          <w:sz w:val="22"/>
          <w:szCs w:val="22"/>
        </w:rPr>
      </w:pPr>
      <w:r w:rsidRPr="00734D74">
        <w:rPr>
          <w:rFonts w:asciiTheme="minorHAnsi" w:hAnsiTheme="minorHAnsi" w:cstheme="minorHAnsi"/>
          <w:color w:val="333333"/>
          <w:sz w:val="22"/>
          <w:szCs w:val="22"/>
        </w:rPr>
        <w:t>2º. Los operadores deberán limitar la generación de residuos en los procesos relacionados con la construcción y demolición, de conformidad con el Protocolo de gestión de residuos de construcción y demolición de la UE y teniendo en cuenta las mejores técnicas disponibles y utilizando la demolición selectiva para permitir la eliminación y manipulación segura de sustancias peligrosas y facilitar la reutilización y reciclaje de alta calidad mediante la eliminación selectiva de materiales, utilizando los sistemas de clasificación disponibles para residuos de construcción y demolición. Asimismo, se establecerá que la demolición se lleve a cabo preferiblemente de forma selectiva y la clasificación se realizará de forma preferente en el lugar de generación de los residuos.</w:t>
      </w:r>
    </w:p>
    <w:p w14:paraId="1DF4E0B5" w14:textId="6980ABCF" w:rsidR="00720941" w:rsidRPr="00734D74" w:rsidRDefault="00734D74" w:rsidP="00734D74">
      <w:pPr>
        <w:pStyle w:val="NormalWeb"/>
        <w:shd w:val="clear" w:color="auto" w:fill="FFFFFF"/>
        <w:spacing w:before="0" w:beforeAutospacing="0"/>
        <w:jc w:val="both"/>
        <w:rPr>
          <w:rFonts w:asciiTheme="minorHAnsi" w:hAnsiTheme="minorHAnsi" w:cstheme="minorHAnsi"/>
          <w:sz w:val="22"/>
          <w:szCs w:val="22"/>
        </w:rPr>
      </w:pPr>
      <w:r w:rsidRPr="00734D74">
        <w:rPr>
          <w:rFonts w:asciiTheme="minorHAnsi" w:hAnsiTheme="minorHAnsi" w:cstheme="minorHAnsi"/>
          <w:color w:val="333333"/>
          <w:sz w:val="22"/>
          <w:szCs w:val="22"/>
        </w:rPr>
        <w:t>b) Los diseños de los edificios y las técnicas de construcción apoyarán la circularidad y, en particular, demostrarán, con referencia a la ISO 20887 u otras normas para evaluar la capacidad de desmontaje o adaptabilidad de los edificios, cómo están diseñados para ser más eficientes en el uso de recursos, adaptables, flexibles y desmontables para permitir la reutilización y reciclaje. </w:t>
      </w:r>
    </w:p>
    <w:sectPr w:rsidR="00720941" w:rsidRPr="00734D7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D74"/>
    <w:rsid w:val="00720941"/>
    <w:rsid w:val="0073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F873D"/>
  <w15:chartTrackingRefBased/>
  <w15:docId w15:val="{25DD5502-C7EE-486E-94D5-0B331CD9D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34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Textoennegrita">
    <w:name w:val="Strong"/>
    <w:basedOn w:val="Fuentedeprrafopredeter"/>
    <w:uiPriority w:val="22"/>
    <w:qFormat/>
    <w:rsid w:val="00734D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6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497</Words>
  <Characters>2737</Characters>
  <Application>Microsoft Office Word</Application>
  <DocSecurity>0</DocSecurity>
  <Lines>22</Lines>
  <Paragraphs>6</Paragraphs>
  <ScaleCrop>false</ScaleCrop>
  <Company/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Dpto. Visado</dc:creator>
  <cp:keywords/>
  <dc:description/>
  <cp:lastModifiedBy>Dpto. Visado</cp:lastModifiedBy>
  <cp:revision>1</cp:revision>
  <dcterms:created xsi:type="dcterms:W3CDTF">2022-12-28T11:57:00Z</dcterms:created>
  <dcterms:modified xsi:type="dcterms:W3CDTF">2022-12-28T11:58:00Z</dcterms:modified>
</cp:coreProperties>
</file>